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9" w:rsidRPr="005F4FA9" w:rsidRDefault="005F4FA9" w:rsidP="005F4FA9">
      <w:pPr>
        <w:widowControl/>
        <w:adjustRightInd w:val="0"/>
        <w:snapToGrid w:val="0"/>
        <w:spacing w:after="200" w:line="520" w:lineRule="exact"/>
        <w:jc w:val="left"/>
        <w:rPr>
          <w:rFonts w:ascii="文星简小标宋" w:eastAsia="宋体" w:hAnsi="文星简小标宋" w:cs="文星简小标宋" w:hint="eastAsia"/>
          <w:color w:val="000000"/>
          <w:spacing w:val="-20"/>
          <w:kern w:val="0"/>
          <w:sz w:val="32"/>
          <w:szCs w:val="32"/>
        </w:rPr>
      </w:pPr>
      <w:r w:rsidRPr="005F4FA9">
        <w:rPr>
          <w:rFonts w:ascii="文星简小标宋" w:eastAsia="文星简小标宋" w:hAnsi="文星简小标宋" w:cs="文星简小标宋" w:hint="eastAsia"/>
          <w:color w:val="000000"/>
          <w:spacing w:val="-20"/>
          <w:kern w:val="0"/>
          <w:sz w:val="32"/>
          <w:szCs w:val="32"/>
        </w:rPr>
        <w:t>附件2</w:t>
      </w:r>
    </w:p>
    <w:p w:rsidR="005F4FA9" w:rsidRPr="005F4FA9" w:rsidRDefault="005F4FA9" w:rsidP="005F4FA9">
      <w:pPr>
        <w:widowControl/>
        <w:adjustRightInd w:val="0"/>
        <w:snapToGrid w:val="0"/>
        <w:spacing w:line="480" w:lineRule="exact"/>
        <w:jc w:val="center"/>
        <w:rPr>
          <w:rFonts w:ascii="文星简小标宋" w:eastAsia="宋体" w:hAnsi="文星简小标宋" w:cs="文星简小标宋" w:hint="eastAsia"/>
          <w:b/>
          <w:kern w:val="0"/>
          <w:sz w:val="36"/>
          <w:szCs w:val="36"/>
        </w:rPr>
      </w:pPr>
      <w:r w:rsidRPr="005F4FA9">
        <w:rPr>
          <w:rFonts w:ascii="文星简小标宋" w:eastAsia="文星简小标宋" w:hAnsi="文星简小标宋" w:cs="文星简小标宋" w:hint="eastAsia"/>
          <w:b/>
          <w:kern w:val="0"/>
          <w:sz w:val="36"/>
          <w:szCs w:val="36"/>
        </w:rPr>
        <w:t>嘉</w:t>
      </w:r>
      <w:r w:rsidRPr="005F4FA9">
        <w:rPr>
          <w:rFonts w:ascii="文星简小标宋" w:eastAsia="宋体" w:hAnsi="文星简小标宋" w:cs="文星简小标宋" w:hint="eastAsia"/>
          <w:b/>
          <w:kern w:val="0"/>
          <w:sz w:val="36"/>
          <w:szCs w:val="36"/>
        </w:rPr>
        <w:t xml:space="preserve"> </w:t>
      </w:r>
      <w:r w:rsidRPr="005F4FA9">
        <w:rPr>
          <w:rFonts w:ascii="宋体" w:eastAsia="宋体" w:hAnsi="宋体" w:cs="宋体" w:hint="eastAsia"/>
          <w:b/>
          <w:kern w:val="0"/>
          <w:sz w:val="36"/>
          <w:szCs w:val="36"/>
        </w:rPr>
        <w:t xml:space="preserve">兴 职 业 </w:t>
      </w:r>
      <w:r w:rsidRPr="005F4FA9">
        <w:rPr>
          <w:rFonts w:ascii="MS Mincho" w:eastAsia="MS Mincho" w:hAnsi="MS Mincho" w:cs="MS Mincho" w:hint="eastAsia"/>
          <w:b/>
          <w:kern w:val="0"/>
          <w:sz w:val="36"/>
          <w:szCs w:val="36"/>
        </w:rPr>
        <w:t>技</w:t>
      </w:r>
      <w:r w:rsidRPr="005F4FA9">
        <w:rPr>
          <w:rFonts w:ascii="MS Mincho" w:eastAsia="宋体" w:hAnsi="MS Mincho" w:cs="MS Mincho" w:hint="eastAsia"/>
          <w:b/>
          <w:kern w:val="0"/>
          <w:sz w:val="36"/>
          <w:szCs w:val="36"/>
        </w:rPr>
        <w:t xml:space="preserve"> </w:t>
      </w:r>
      <w:r w:rsidRPr="005F4FA9">
        <w:rPr>
          <w:rFonts w:ascii="宋体" w:eastAsia="宋体" w:hAnsi="宋体" w:cs="宋体" w:hint="eastAsia"/>
          <w:b/>
          <w:kern w:val="0"/>
          <w:sz w:val="36"/>
          <w:szCs w:val="36"/>
        </w:rPr>
        <w:t xml:space="preserve">术 </w:t>
      </w:r>
      <w:r w:rsidRPr="005F4FA9">
        <w:rPr>
          <w:rFonts w:ascii="MS Mincho" w:eastAsia="MS Mincho" w:hAnsi="MS Mincho" w:cs="MS Mincho" w:hint="eastAsia"/>
          <w:b/>
          <w:kern w:val="0"/>
          <w:sz w:val="36"/>
          <w:szCs w:val="36"/>
        </w:rPr>
        <w:t>学</w:t>
      </w:r>
      <w:r w:rsidRPr="005F4FA9">
        <w:rPr>
          <w:rFonts w:ascii="MS Mincho" w:eastAsia="宋体" w:hAnsi="MS Mincho" w:cs="MS Mincho" w:hint="eastAsia"/>
          <w:b/>
          <w:kern w:val="0"/>
          <w:sz w:val="36"/>
          <w:szCs w:val="36"/>
        </w:rPr>
        <w:t xml:space="preserve"> </w:t>
      </w:r>
      <w:r w:rsidRPr="005F4FA9">
        <w:rPr>
          <w:rFonts w:ascii="MS Mincho" w:eastAsia="MS Mincho" w:hAnsi="MS Mincho" w:cs="MS Mincho" w:hint="eastAsia"/>
          <w:b/>
          <w:kern w:val="0"/>
          <w:sz w:val="36"/>
          <w:szCs w:val="36"/>
        </w:rPr>
        <w:t>院</w:t>
      </w:r>
    </w:p>
    <w:p w:rsidR="005F4FA9" w:rsidRPr="005F4FA9" w:rsidRDefault="005F4FA9" w:rsidP="005F4FA9">
      <w:pPr>
        <w:widowControl/>
        <w:adjustRightInd w:val="0"/>
        <w:snapToGrid w:val="0"/>
        <w:spacing w:line="480" w:lineRule="exact"/>
        <w:jc w:val="center"/>
        <w:rPr>
          <w:rFonts w:ascii="文星简小标宋" w:eastAsia="宋体" w:hAnsi="文星简小标宋" w:cs="文星简小标宋" w:hint="eastAsia"/>
          <w:b/>
          <w:kern w:val="0"/>
          <w:sz w:val="36"/>
          <w:szCs w:val="36"/>
        </w:rPr>
      </w:pPr>
      <w:r w:rsidRPr="005F4FA9">
        <w:rPr>
          <w:rFonts w:ascii="文星简小标宋" w:eastAsia="文星简小标宋" w:hAnsi="文星简小标宋" w:cs="文星简小标宋" w:hint="eastAsia"/>
          <w:b/>
          <w:kern w:val="0"/>
          <w:sz w:val="36"/>
          <w:szCs w:val="36"/>
        </w:rPr>
        <w:t>201</w:t>
      </w:r>
      <w:r w:rsidRPr="005F4FA9">
        <w:rPr>
          <w:rFonts w:ascii="文星简小标宋" w:eastAsia="宋体" w:hAnsi="文星简小标宋" w:cs="文星简小标宋" w:hint="eastAsia"/>
          <w:b/>
          <w:kern w:val="0"/>
          <w:sz w:val="36"/>
          <w:szCs w:val="36"/>
        </w:rPr>
        <w:t>9</w:t>
      </w:r>
      <w:r w:rsidRPr="005F4FA9">
        <w:rPr>
          <w:rFonts w:ascii="文星简小标宋" w:eastAsia="文星简小标宋" w:hAnsi="文星简小标宋" w:cs="文星简小标宋" w:hint="eastAsia"/>
          <w:b/>
          <w:kern w:val="0"/>
          <w:sz w:val="36"/>
          <w:szCs w:val="36"/>
        </w:rPr>
        <w:t>年度</w:t>
      </w:r>
      <w:r w:rsidRPr="005F4FA9">
        <w:rPr>
          <w:rFonts w:ascii="文星简小标宋" w:eastAsia="宋体" w:hAnsi="文星简小标宋" w:cs="文星简小标宋" w:hint="eastAsia"/>
          <w:b/>
          <w:kern w:val="0"/>
          <w:sz w:val="36"/>
          <w:szCs w:val="36"/>
        </w:rPr>
        <w:t>有关</w:t>
      </w:r>
      <w:r w:rsidRPr="005F4FA9">
        <w:rPr>
          <w:rFonts w:ascii="文星简小标宋" w:eastAsia="文星简小标宋" w:hAnsi="文星简小标宋" w:cs="文星简小标宋" w:hint="eastAsia"/>
          <w:b/>
          <w:kern w:val="0"/>
          <w:sz w:val="36"/>
          <w:szCs w:val="36"/>
        </w:rPr>
        <w:t>引</w:t>
      </w:r>
      <w:r w:rsidRPr="005F4FA9">
        <w:rPr>
          <w:rFonts w:ascii="宋体" w:eastAsia="宋体" w:hAnsi="宋体" w:cs="宋体" w:hint="eastAsia"/>
          <w:b/>
          <w:kern w:val="0"/>
          <w:sz w:val="36"/>
          <w:szCs w:val="36"/>
        </w:rPr>
        <w:t>进</w:t>
      </w:r>
      <w:r w:rsidRPr="005F4FA9">
        <w:rPr>
          <w:rFonts w:ascii="MS Mincho" w:eastAsia="MS Mincho" w:hAnsi="MS Mincho" w:cs="MS Mincho" w:hint="eastAsia"/>
          <w:b/>
          <w:kern w:val="0"/>
          <w:sz w:val="36"/>
          <w:szCs w:val="36"/>
        </w:rPr>
        <w:t>高</w:t>
      </w:r>
      <w:r w:rsidRPr="005F4FA9">
        <w:rPr>
          <w:rFonts w:ascii="宋体" w:eastAsia="宋体" w:hAnsi="宋体" w:cs="宋体" w:hint="eastAsia"/>
          <w:b/>
          <w:kern w:val="0"/>
          <w:sz w:val="36"/>
          <w:szCs w:val="36"/>
        </w:rPr>
        <w:t>层</w:t>
      </w:r>
      <w:r w:rsidRPr="005F4FA9">
        <w:rPr>
          <w:rFonts w:ascii="MS Mincho" w:eastAsia="MS Mincho" w:hAnsi="MS Mincho" w:cs="MS Mincho" w:hint="eastAsia"/>
          <w:b/>
          <w:kern w:val="0"/>
          <w:sz w:val="36"/>
          <w:szCs w:val="36"/>
        </w:rPr>
        <w:t>次</w:t>
      </w:r>
      <w:r w:rsidRPr="005F4FA9">
        <w:rPr>
          <w:rFonts w:ascii="宋体" w:eastAsia="宋体" w:hAnsi="宋体" w:cs="宋体" w:hint="eastAsia"/>
          <w:b/>
          <w:kern w:val="0"/>
          <w:sz w:val="36"/>
          <w:szCs w:val="36"/>
        </w:rPr>
        <w:t>优</w:t>
      </w:r>
      <w:r w:rsidRPr="005F4FA9">
        <w:rPr>
          <w:rFonts w:ascii="MS Mincho" w:eastAsia="MS Mincho" w:hAnsi="MS Mincho" w:cs="MS Mincho" w:hint="eastAsia"/>
          <w:b/>
          <w:kern w:val="0"/>
          <w:sz w:val="36"/>
          <w:szCs w:val="36"/>
        </w:rPr>
        <w:t>秀人才</w:t>
      </w:r>
      <w:r w:rsidRPr="005F4FA9">
        <w:rPr>
          <w:rFonts w:ascii="文星简小标宋" w:eastAsia="宋体" w:hAnsi="文星简小标宋" w:cs="文星简小标宋" w:hint="eastAsia"/>
          <w:b/>
          <w:kern w:val="0"/>
          <w:sz w:val="36"/>
          <w:szCs w:val="36"/>
        </w:rPr>
        <w:t>待遇的规定</w:t>
      </w:r>
    </w:p>
    <w:p w:rsidR="005F4FA9" w:rsidRPr="005F4FA9" w:rsidRDefault="005F4FA9" w:rsidP="005F4FA9">
      <w:pPr>
        <w:widowControl/>
        <w:adjustRightInd w:val="0"/>
        <w:snapToGrid w:val="0"/>
        <w:spacing w:after="200" w:line="360" w:lineRule="auto"/>
        <w:ind w:firstLineChars="200" w:firstLine="480"/>
        <w:jc w:val="left"/>
        <w:rPr>
          <w:rFonts w:ascii="仿宋_GB2312" w:eastAsia="仿宋_GB2312" w:hAnsi="Tahoma" w:cs="Tahoma"/>
          <w:color w:val="000000"/>
          <w:kern w:val="0"/>
          <w:sz w:val="24"/>
        </w:rPr>
      </w:pP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ahoma" w:cs="Tahoma"/>
          <w:color w:val="000000"/>
          <w:kern w:val="0"/>
          <w:sz w:val="28"/>
          <w:szCs w:val="28"/>
        </w:rPr>
      </w:pPr>
      <w:r w:rsidRPr="005F4FA9">
        <w:rPr>
          <w:rFonts w:ascii="仿宋_GB2312" w:eastAsia="仿宋_GB2312" w:hAnsi="Tahoma" w:cs="Tahoma" w:hint="eastAsia"/>
          <w:color w:val="000000"/>
          <w:kern w:val="0"/>
          <w:sz w:val="28"/>
          <w:szCs w:val="28"/>
        </w:rPr>
        <w:t>为进一步规划和加强“十三五”师资队伍建设，特别是专业领军人才、高学历高职称的学科及专业带头人和高技能高素质的“双师”教师队伍的建设，引进更多适合于高等职业教育的优秀人才，并为他们创造良好的工作条件和生活环境，根据国家有关政策和地方政府的优惠措施，结合我校实际，经研究，现将学校2019年度引进高层次优秀人才待遇通知如下：</w:t>
      </w:r>
    </w:p>
    <w:p w:rsidR="005F4FA9" w:rsidRPr="005F4FA9" w:rsidRDefault="005F4FA9" w:rsidP="005F4FA9">
      <w:pPr>
        <w:widowControl/>
        <w:adjustRightInd w:val="0"/>
        <w:snapToGrid w:val="0"/>
        <w:spacing w:line="360" w:lineRule="auto"/>
        <w:ind w:firstLineChars="200" w:firstLine="560"/>
        <w:jc w:val="left"/>
        <w:rPr>
          <w:rFonts w:ascii="黑体" w:eastAsia="黑体" w:hAnsi="Tahoma" w:cs="Tahoma"/>
          <w:color w:val="000000"/>
          <w:kern w:val="0"/>
          <w:sz w:val="28"/>
          <w:szCs w:val="28"/>
        </w:rPr>
      </w:pPr>
      <w:r w:rsidRPr="005F4FA9">
        <w:rPr>
          <w:rFonts w:ascii="黑体" w:eastAsia="黑体" w:hAnsi="Tahoma" w:cs="Tahoma" w:hint="eastAsia"/>
          <w:color w:val="000000"/>
          <w:kern w:val="0"/>
          <w:sz w:val="28"/>
          <w:szCs w:val="28"/>
        </w:rPr>
        <w:t>一、引进的优秀人才专业类别及待遇</w:t>
      </w:r>
    </w:p>
    <w:p w:rsidR="005F4FA9" w:rsidRPr="005F4FA9" w:rsidRDefault="005F4FA9" w:rsidP="005F4FA9">
      <w:pPr>
        <w:widowControl/>
        <w:adjustRightInd w:val="0"/>
        <w:snapToGrid w:val="0"/>
        <w:spacing w:line="360" w:lineRule="auto"/>
        <w:ind w:firstLineChars="50" w:firstLine="140"/>
        <w:jc w:val="left"/>
        <w:rPr>
          <w:rFonts w:ascii="仿宋_GB2312" w:eastAsia="仿宋_GB2312" w:hAnsi="Times New Roman" w:cs="Times New Roman"/>
          <w:color w:val="000000"/>
          <w:sz w:val="28"/>
          <w:szCs w:val="28"/>
        </w:rPr>
      </w:pPr>
      <w:r w:rsidRPr="005F4FA9">
        <w:rPr>
          <w:rFonts w:ascii="仿宋_GB2312" w:eastAsia="仿宋_GB2312" w:hAnsi="Times New Roman" w:cs="Times New Roman" w:hint="eastAsia"/>
          <w:color w:val="000000"/>
          <w:sz w:val="28"/>
          <w:szCs w:val="28"/>
        </w:rPr>
        <w:t xml:space="preserve"> （一）</w:t>
      </w:r>
      <w:r w:rsidRPr="005F4FA9">
        <w:rPr>
          <w:rFonts w:ascii="仿宋_GB2312" w:eastAsia="仿宋_GB2312" w:hAnsi="Times New Roman" w:cs="Times New Roman" w:hint="eastAsia"/>
          <w:b/>
          <w:color w:val="000000"/>
          <w:sz w:val="28"/>
          <w:szCs w:val="28"/>
        </w:rPr>
        <w:t>专业领军人才。</w:t>
      </w:r>
      <w:r w:rsidRPr="005F4FA9">
        <w:rPr>
          <w:rFonts w:ascii="仿宋_GB2312" w:eastAsia="仿宋_GB2312" w:hAnsi="Times New Roman" w:cs="Times New Roman" w:hint="eastAsia"/>
          <w:color w:val="000000"/>
          <w:sz w:val="28"/>
          <w:szCs w:val="28"/>
        </w:rPr>
        <w:t>获省部级及以上高层次人才称号者（包括外省相应称号，年龄一般不超过50周岁）或专业领军人才：教育部长江学者、省有突出贡献中青年专家、省</w:t>
      </w:r>
      <w:r w:rsidRPr="005F4FA9">
        <w:rPr>
          <w:rFonts w:ascii="仿宋_GB2312" w:eastAsia="仿宋_GB2312" w:hAnsi="Times New Roman" w:cs="Times New Roman"/>
          <w:color w:val="000000"/>
          <w:sz w:val="28"/>
          <w:szCs w:val="28"/>
        </w:rPr>
        <w:t>“</w:t>
      </w:r>
      <w:r w:rsidRPr="005F4FA9">
        <w:rPr>
          <w:rFonts w:ascii="仿宋_GB2312" w:eastAsia="仿宋_GB2312" w:hAnsi="Times New Roman" w:cs="Times New Roman" w:hint="eastAsia"/>
          <w:color w:val="000000"/>
          <w:sz w:val="28"/>
          <w:szCs w:val="28"/>
        </w:rPr>
        <w:t>千人计划</w:t>
      </w:r>
      <w:r w:rsidRPr="005F4FA9">
        <w:rPr>
          <w:rFonts w:ascii="仿宋_GB2312" w:eastAsia="仿宋_GB2312" w:hAnsi="Times New Roman" w:cs="Times New Roman"/>
          <w:color w:val="000000"/>
          <w:sz w:val="28"/>
          <w:szCs w:val="28"/>
        </w:rPr>
        <w:t>”</w:t>
      </w:r>
      <w:r w:rsidRPr="005F4FA9">
        <w:rPr>
          <w:rFonts w:ascii="仿宋_GB2312" w:eastAsia="仿宋_GB2312" w:hAnsi="Times New Roman" w:cs="Times New Roman" w:hint="eastAsia"/>
          <w:color w:val="000000"/>
          <w:sz w:val="28"/>
          <w:szCs w:val="28"/>
        </w:rPr>
        <w:t>入选者、省</w:t>
      </w:r>
      <w:r w:rsidRPr="005F4FA9">
        <w:rPr>
          <w:rFonts w:ascii="仿宋_GB2312" w:eastAsia="仿宋_GB2312" w:hAnsi="Times New Roman" w:cs="Times New Roman"/>
          <w:color w:val="000000"/>
          <w:sz w:val="28"/>
          <w:szCs w:val="28"/>
        </w:rPr>
        <w:t>“</w:t>
      </w:r>
      <w:r w:rsidRPr="005F4FA9">
        <w:rPr>
          <w:rFonts w:ascii="仿宋_GB2312" w:eastAsia="仿宋_GB2312" w:hAnsi="Times New Roman" w:cs="Times New Roman" w:hint="eastAsia"/>
          <w:color w:val="000000"/>
          <w:sz w:val="28"/>
          <w:szCs w:val="28"/>
        </w:rPr>
        <w:t>新世纪151人才工程</w:t>
      </w:r>
      <w:r w:rsidRPr="005F4FA9">
        <w:rPr>
          <w:rFonts w:ascii="仿宋_GB2312" w:eastAsia="仿宋_GB2312" w:hAnsi="Times New Roman" w:cs="Times New Roman"/>
          <w:color w:val="000000"/>
          <w:sz w:val="28"/>
          <w:szCs w:val="28"/>
        </w:rPr>
        <w:t>”</w:t>
      </w:r>
      <w:r w:rsidRPr="005F4FA9">
        <w:rPr>
          <w:rFonts w:ascii="仿宋_GB2312" w:eastAsia="仿宋_GB2312" w:hAnsi="Times New Roman" w:cs="Times New Roman" w:hint="eastAsia"/>
          <w:color w:val="000000"/>
          <w:sz w:val="28"/>
          <w:szCs w:val="28"/>
        </w:rPr>
        <w:t>第一层次入选者、教育部</w:t>
      </w:r>
      <w:r w:rsidRPr="005F4FA9">
        <w:rPr>
          <w:rFonts w:ascii="仿宋_GB2312" w:eastAsia="仿宋_GB2312" w:hAnsi="Times New Roman" w:cs="Times New Roman"/>
          <w:color w:val="000000"/>
          <w:sz w:val="28"/>
          <w:szCs w:val="28"/>
        </w:rPr>
        <w:t>“</w:t>
      </w:r>
      <w:r w:rsidRPr="005F4FA9">
        <w:rPr>
          <w:rFonts w:ascii="仿宋_GB2312" w:eastAsia="仿宋_GB2312" w:hAnsi="Times New Roman" w:cs="Times New Roman" w:hint="eastAsia"/>
          <w:color w:val="000000"/>
          <w:sz w:val="28"/>
          <w:szCs w:val="28"/>
        </w:rPr>
        <w:t>新世纪优秀人才支持计划</w:t>
      </w:r>
      <w:r w:rsidRPr="005F4FA9">
        <w:rPr>
          <w:rFonts w:ascii="仿宋_GB2312" w:eastAsia="仿宋_GB2312" w:hAnsi="Times New Roman" w:cs="Times New Roman"/>
          <w:color w:val="000000"/>
          <w:sz w:val="28"/>
          <w:szCs w:val="28"/>
        </w:rPr>
        <w:t>”</w:t>
      </w:r>
      <w:r w:rsidRPr="005F4FA9">
        <w:rPr>
          <w:rFonts w:ascii="仿宋_GB2312" w:eastAsia="仿宋_GB2312" w:hAnsi="Times New Roman" w:cs="Times New Roman" w:hint="eastAsia"/>
          <w:color w:val="000000"/>
          <w:sz w:val="28"/>
          <w:szCs w:val="28"/>
        </w:rPr>
        <w:t>入选者、国家级教学名师、国家级专业教学团队带头人、教育部</w:t>
      </w:r>
      <w:r w:rsidRPr="005F4FA9">
        <w:rPr>
          <w:rFonts w:ascii="仿宋_GB2312" w:eastAsia="仿宋_GB2312" w:hAnsi="Times New Roman" w:cs="Times New Roman"/>
          <w:color w:val="000000"/>
          <w:sz w:val="28"/>
          <w:szCs w:val="28"/>
        </w:rPr>
        <w:t>“</w:t>
      </w:r>
      <w:r w:rsidRPr="005F4FA9">
        <w:rPr>
          <w:rFonts w:ascii="仿宋_GB2312" w:eastAsia="仿宋_GB2312" w:hAnsi="Times New Roman" w:cs="Times New Roman" w:hint="eastAsia"/>
          <w:color w:val="000000"/>
          <w:sz w:val="28"/>
          <w:szCs w:val="28"/>
        </w:rPr>
        <w:t>高校青年教师奖</w:t>
      </w:r>
      <w:r w:rsidRPr="005F4FA9">
        <w:rPr>
          <w:rFonts w:ascii="仿宋_GB2312" w:eastAsia="仿宋_GB2312" w:hAnsi="Times New Roman" w:cs="Times New Roman"/>
          <w:color w:val="000000"/>
          <w:sz w:val="28"/>
          <w:szCs w:val="28"/>
        </w:rPr>
        <w:t>”</w:t>
      </w:r>
      <w:r w:rsidRPr="005F4FA9">
        <w:rPr>
          <w:rFonts w:ascii="仿宋_GB2312" w:eastAsia="仿宋_GB2312" w:hAnsi="Times New Roman" w:cs="Times New Roman" w:hint="eastAsia"/>
          <w:color w:val="000000"/>
          <w:sz w:val="28"/>
          <w:szCs w:val="28"/>
        </w:rPr>
        <w:t>获得者等具有国内影响力的高级人才。待遇另行商定。</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imes New Roman" w:cs="Times New Roman"/>
          <w:color w:val="000000"/>
          <w:sz w:val="28"/>
          <w:szCs w:val="28"/>
        </w:rPr>
      </w:pPr>
      <w:r w:rsidRPr="005F4FA9">
        <w:rPr>
          <w:rFonts w:ascii="仿宋_GB2312" w:eastAsia="仿宋_GB2312" w:hAnsi="Times New Roman" w:cs="Times New Roman" w:hint="eastAsia"/>
          <w:color w:val="000000"/>
          <w:sz w:val="28"/>
          <w:szCs w:val="28"/>
        </w:rPr>
        <w:t>（二）</w:t>
      </w:r>
      <w:r w:rsidRPr="005F4FA9">
        <w:rPr>
          <w:rFonts w:ascii="仿宋_GB2312" w:eastAsia="仿宋_GB2312" w:hAnsi="Times New Roman" w:cs="Times New Roman" w:hint="eastAsia"/>
          <w:b/>
          <w:color w:val="000000"/>
          <w:sz w:val="28"/>
          <w:szCs w:val="28"/>
        </w:rPr>
        <w:t>专业带头人。</w:t>
      </w:r>
      <w:r w:rsidRPr="005F4FA9">
        <w:rPr>
          <w:rFonts w:ascii="仿宋_GB2312" w:eastAsia="仿宋_GB2312" w:hAnsi="Times New Roman" w:cs="Times New Roman" w:hint="eastAsia"/>
          <w:color w:val="000000"/>
          <w:sz w:val="28"/>
          <w:szCs w:val="28"/>
        </w:rPr>
        <w:t>能够带领团队提升学院相关专业的建设水平的正高级职称人员（教授或研究员）</w:t>
      </w:r>
      <w:r w:rsidRPr="005F4FA9">
        <w:rPr>
          <w:rFonts w:ascii="仿宋_GB2312" w:eastAsia="仿宋_GB2312" w:hAnsi="Times New Roman" w:cs="Times New Roman" w:hint="eastAsia"/>
          <w:color w:val="000000"/>
          <w:kern w:val="0"/>
          <w:sz w:val="30"/>
          <w:szCs w:val="30"/>
        </w:rPr>
        <w:t>，</w:t>
      </w:r>
      <w:r w:rsidRPr="005F4FA9">
        <w:rPr>
          <w:rFonts w:ascii="仿宋_GB2312" w:eastAsia="仿宋_GB2312" w:hAnsi="Times New Roman" w:cs="Times New Roman" w:hint="eastAsia"/>
          <w:kern w:val="0"/>
          <w:sz w:val="30"/>
          <w:szCs w:val="30"/>
        </w:rPr>
        <w:t>年龄一般在45周岁以下</w:t>
      </w:r>
      <w:r w:rsidRPr="005F4FA9">
        <w:rPr>
          <w:rFonts w:ascii="仿宋_GB2312" w:eastAsia="仿宋_GB2312" w:hAnsi="Times New Roman" w:cs="Times New Roman" w:hint="eastAsia"/>
          <w:color w:val="000000"/>
          <w:kern w:val="0"/>
          <w:sz w:val="30"/>
          <w:szCs w:val="30"/>
        </w:rPr>
        <w:t>。</w:t>
      </w:r>
      <w:r w:rsidRPr="005F4FA9">
        <w:rPr>
          <w:rFonts w:ascii="仿宋_GB2312" w:eastAsia="仿宋_GB2312" w:hAnsi="Times New Roman" w:cs="Times New Roman" w:hint="eastAsia"/>
          <w:color w:val="000000"/>
          <w:sz w:val="28"/>
          <w:szCs w:val="28"/>
        </w:rPr>
        <w:t>根据提供的业绩，享受住房补助60</w:t>
      </w:r>
      <w:r w:rsidRPr="005F4FA9">
        <w:rPr>
          <w:rFonts w:ascii="仿宋_GB2312" w:eastAsia="仿宋_GB2312" w:hAnsi="Times New Roman" w:cs="Times New Roman"/>
          <w:color w:val="000000"/>
          <w:sz w:val="28"/>
          <w:szCs w:val="28"/>
        </w:rPr>
        <w:t>—</w:t>
      </w:r>
      <w:r w:rsidRPr="005F4FA9">
        <w:rPr>
          <w:rFonts w:ascii="仿宋_GB2312" w:eastAsia="仿宋_GB2312" w:hAnsi="Times New Roman" w:cs="Times New Roman" w:hint="eastAsia"/>
          <w:color w:val="000000"/>
          <w:sz w:val="28"/>
          <w:szCs w:val="28"/>
        </w:rPr>
        <w:t>80万元，具体面议。安家费10万元，科研启动费：理工类：40万元，人文社科类20万元。</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ahoma" w:cs="Tahoma"/>
          <w:color w:val="000000"/>
          <w:kern w:val="0"/>
          <w:sz w:val="28"/>
          <w:szCs w:val="28"/>
        </w:rPr>
      </w:pPr>
      <w:r w:rsidRPr="005F4FA9">
        <w:rPr>
          <w:rFonts w:ascii="仿宋_GB2312" w:eastAsia="仿宋_GB2312" w:hAnsi="Tahoma" w:cs="Tahoma" w:hint="eastAsia"/>
          <w:color w:val="000000"/>
          <w:kern w:val="0"/>
          <w:sz w:val="28"/>
          <w:szCs w:val="28"/>
        </w:rPr>
        <w:t>（三）</w:t>
      </w:r>
      <w:r w:rsidRPr="005F4FA9">
        <w:rPr>
          <w:rFonts w:ascii="仿宋_GB2312" w:eastAsia="仿宋_GB2312" w:hAnsi="Tahoma" w:cs="Tahoma" w:hint="eastAsia"/>
          <w:b/>
          <w:color w:val="000000"/>
          <w:kern w:val="0"/>
          <w:sz w:val="28"/>
          <w:szCs w:val="28"/>
        </w:rPr>
        <w:t>教学科研骨干。</w:t>
      </w:r>
      <w:r w:rsidRPr="005F4FA9">
        <w:rPr>
          <w:rFonts w:ascii="仿宋_GB2312" w:eastAsia="仿宋_GB2312" w:hAnsi="Tahoma" w:cs="Tahoma" w:hint="eastAsia"/>
          <w:color w:val="000000"/>
          <w:kern w:val="0"/>
          <w:sz w:val="28"/>
          <w:szCs w:val="28"/>
        </w:rPr>
        <w:t>具有副教授及以上专业技术职务，并获得省级及以上科研、教学、人才项目获得者，</w:t>
      </w:r>
      <w:r w:rsidRPr="005F4FA9">
        <w:rPr>
          <w:rFonts w:ascii="仿宋_GB2312" w:eastAsia="仿宋_GB2312" w:hAnsi="Times New Roman" w:cs="Times New Roman" w:hint="eastAsia"/>
          <w:kern w:val="0"/>
          <w:sz w:val="30"/>
          <w:szCs w:val="30"/>
        </w:rPr>
        <w:t>年龄一般在45周岁以下。</w:t>
      </w:r>
      <w:r w:rsidRPr="005F4FA9">
        <w:rPr>
          <w:rFonts w:ascii="仿宋_GB2312" w:eastAsia="仿宋_GB2312" w:hAnsi="Tahoma" w:cs="Tahoma" w:hint="eastAsia"/>
          <w:color w:val="000000"/>
          <w:kern w:val="0"/>
          <w:sz w:val="28"/>
          <w:szCs w:val="28"/>
        </w:rPr>
        <w:t>根据提供的业绩，享受住房补贴20</w:t>
      </w:r>
      <w:r w:rsidRPr="005F4FA9">
        <w:rPr>
          <w:rFonts w:ascii="仿宋_GB2312" w:eastAsia="仿宋_GB2312" w:hAnsi="Tahoma" w:cs="Tahoma"/>
          <w:color w:val="000000"/>
          <w:kern w:val="0"/>
          <w:sz w:val="28"/>
          <w:szCs w:val="28"/>
        </w:rPr>
        <w:t>—</w:t>
      </w:r>
      <w:r w:rsidRPr="005F4FA9">
        <w:rPr>
          <w:rFonts w:ascii="仿宋_GB2312" w:eastAsia="仿宋_GB2312" w:hAnsi="Tahoma" w:cs="Tahoma" w:hint="eastAsia"/>
          <w:color w:val="000000"/>
          <w:kern w:val="0"/>
          <w:sz w:val="28"/>
          <w:szCs w:val="28"/>
        </w:rPr>
        <w:t>40万元，具体面议。安家费10万元，科研启动费：理工类20万元，人文社科类10万元。</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ahoma" w:cs="Tahoma"/>
          <w:color w:val="000000"/>
          <w:kern w:val="0"/>
          <w:sz w:val="28"/>
          <w:szCs w:val="28"/>
        </w:rPr>
      </w:pPr>
      <w:r w:rsidRPr="005F4FA9">
        <w:rPr>
          <w:rFonts w:ascii="仿宋_GB2312" w:eastAsia="仿宋_GB2312" w:hAnsi="Tahoma" w:cs="Tahoma" w:hint="eastAsia"/>
          <w:color w:val="000000"/>
          <w:kern w:val="0"/>
          <w:sz w:val="28"/>
          <w:szCs w:val="28"/>
        </w:rPr>
        <w:lastRenderedPageBreak/>
        <w:t>（四）</w:t>
      </w:r>
      <w:r w:rsidRPr="005F4FA9">
        <w:rPr>
          <w:rFonts w:ascii="仿宋_GB2312" w:eastAsia="仿宋_GB2312" w:hAnsi="Tahoma" w:cs="Tahoma" w:hint="eastAsia"/>
          <w:b/>
          <w:color w:val="000000"/>
          <w:kern w:val="0"/>
          <w:sz w:val="28"/>
          <w:szCs w:val="28"/>
        </w:rPr>
        <w:t>全日制博士研究生。</w:t>
      </w:r>
      <w:r w:rsidRPr="005F4FA9">
        <w:rPr>
          <w:rFonts w:ascii="仿宋_GB2312" w:eastAsia="仿宋_GB2312" w:hAnsi="Tahoma" w:cs="Tahoma" w:hint="eastAsia"/>
          <w:color w:val="000000"/>
          <w:kern w:val="0"/>
          <w:sz w:val="28"/>
          <w:szCs w:val="28"/>
        </w:rPr>
        <w:t>有稳定的研究方向，发表过较高水平的科研论文，具备教学和科研发展潜质，年龄一般要求40周岁以下，具有海外经历的年龄可适当放宽。享受住房补助30万元（优秀博士40万元），安家费10万元；科研启动费：理工科类20万元，人文社科类10万元。</w:t>
      </w:r>
    </w:p>
    <w:p w:rsidR="005F4FA9" w:rsidRPr="005F4FA9" w:rsidRDefault="005F4FA9" w:rsidP="005F4FA9">
      <w:pPr>
        <w:widowControl/>
        <w:adjustRightInd w:val="0"/>
        <w:snapToGrid w:val="0"/>
        <w:spacing w:line="360" w:lineRule="auto"/>
        <w:ind w:firstLineChars="196" w:firstLine="551"/>
        <w:jc w:val="left"/>
        <w:rPr>
          <w:rFonts w:ascii="仿宋_GB2312" w:eastAsia="仿宋_GB2312" w:hAnsi="Tahoma" w:cs="Tahoma"/>
          <w:color w:val="000000"/>
          <w:kern w:val="0"/>
          <w:sz w:val="28"/>
          <w:szCs w:val="28"/>
        </w:rPr>
      </w:pPr>
      <w:r w:rsidRPr="005F4FA9">
        <w:rPr>
          <w:rFonts w:ascii="仿宋_GB2312" w:eastAsia="仿宋_GB2312" w:hAnsi="Tahoma" w:cs="Tahoma" w:hint="eastAsia"/>
          <w:b/>
          <w:color w:val="000000"/>
          <w:kern w:val="0"/>
          <w:sz w:val="28"/>
          <w:szCs w:val="28"/>
        </w:rPr>
        <w:t>以上引进人员享受的住房补贴和安家费均为税后金额（均为人民币）。</w:t>
      </w:r>
    </w:p>
    <w:p w:rsidR="005F4FA9" w:rsidRPr="005F4FA9" w:rsidRDefault="005F4FA9" w:rsidP="005F4FA9">
      <w:pPr>
        <w:widowControl/>
        <w:adjustRightInd w:val="0"/>
        <w:snapToGrid w:val="0"/>
        <w:spacing w:line="360" w:lineRule="auto"/>
        <w:ind w:firstLineChars="200" w:firstLine="562"/>
        <w:jc w:val="left"/>
        <w:rPr>
          <w:rFonts w:ascii="仿宋_GB2312" w:eastAsia="仿宋_GB2312" w:hAnsi="Tahoma" w:cs="Tahoma"/>
          <w:b/>
          <w:color w:val="000000"/>
          <w:kern w:val="0"/>
          <w:sz w:val="28"/>
          <w:szCs w:val="28"/>
        </w:rPr>
      </w:pPr>
      <w:r w:rsidRPr="005F4FA9">
        <w:rPr>
          <w:rFonts w:ascii="仿宋_GB2312" w:eastAsia="仿宋_GB2312" w:hAnsi="Tahoma" w:cs="Tahoma" w:hint="eastAsia"/>
          <w:b/>
          <w:color w:val="000000"/>
          <w:kern w:val="0"/>
          <w:sz w:val="28"/>
          <w:szCs w:val="28"/>
        </w:rPr>
        <w:t>“优秀博士”指在一级期刊上有高质量论文发表或获得省部级项目立项等业绩比较突出者。</w:t>
      </w:r>
    </w:p>
    <w:p w:rsidR="005F4FA9" w:rsidRPr="005F4FA9" w:rsidRDefault="005F4FA9" w:rsidP="005F4FA9">
      <w:pPr>
        <w:widowControl/>
        <w:adjustRightInd w:val="0"/>
        <w:snapToGrid w:val="0"/>
        <w:spacing w:line="360" w:lineRule="auto"/>
        <w:ind w:firstLineChars="200" w:firstLine="560"/>
        <w:jc w:val="left"/>
        <w:rPr>
          <w:rFonts w:ascii="黑体" w:eastAsia="黑体" w:hAnsi="Tahoma" w:cs="Tahoma"/>
          <w:color w:val="000000"/>
          <w:kern w:val="0"/>
          <w:sz w:val="28"/>
          <w:szCs w:val="28"/>
        </w:rPr>
      </w:pPr>
      <w:r w:rsidRPr="005F4FA9">
        <w:rPr>
          <w:rFonts w:ascii="黑体" w:eastAsia="黑体" w:hAnsi="Tahoma" w:cs="Tahoma" w:hint="eastAsia"/>
          <w:color w:val="000000"/>
          <w:kern w:val="0"/>
          <w:sz w:val="28"/>
          <w:szCs w:val="28"/>
        </w:rPr>
        <w:t>二、其他待遇</w:t>
      </w:r>
    </w:p>
    <w:p w:rsidR="005F4FA9" w:rsidRPr="005F4FA9" w:rsidRDefault="005F4FA9" w:rsidP="005F4FA9">
      <w:pPr>
        <w:widowControl/>
        <w:adjustRightInd w:val="0"/>
        <w:snapToGrid w:val="0"/>
        <w:spacing w:line="360" w:lineRule="auto"/>
        <w:ind w:firstLineChars="200" w:firstLine="560"/>
        <w:jc w:val="left"/>
        <w:rPr>
          <w:rFonts w:ascii="黑体" w:eastAsia="黑体" w:hAnsi="Tahoma" w:cs="Tahoma"/>
          <w:kern w:val="0"/>
          <w:sz w:val="28"/>
          <w:szCs w:val="28"/>
        </w:rPr>
      </w:pPr>
      <w:r w:rsidRPr="005F4FA9">
        <w:rPr>
          <w:rFonts w:ascii="仿宋_GB2312" w:eastAsia="仿宋_GB2312" w:hAnsi="Tahoma" w:cs="Tahoma" w:hint="eastAsia"/>
          <w:kern w:val="0"/>
          <w:sz w:val="28"/>
          <w:szCs w:val="28"/>
        </w:rPr>
        <w:t>引进的优秀人才，在聘期（或管理期）内可同时按照嘉兴市出台的《关于印发&lt;关于实施硕博倍增计划的若干政策意见&gt;的通知》（</w:t>
      </w:r>
      <w:proofErr w:type="gramStart"/>
      <w:r w:rsidRPr="005F4FA9">
        <w:rPr>
          <w:rFonts w:ascii="仿宋_GB2312" w:eastAsia="仿宋_GB2312" w:hAnsi="Tahoma" w:cs="Tahoma" w:hint="eastAsia"/>
          <w:kern w:val="0"/>
          <w:sz w:val="28"/>
          <w:szCs w:val="28"/>
        </w:rPr>
        <w:t>嘉人社</w:t>
      </w:r>
      <w:proofErr w:type="gramEnd"/>
      <w:r w:rsidRPr="005F4FA9">
        <w:rPr>
          <w:rFonts w:ascii="仿宋" w:eastAsia="仿宋" w:hAnsi="仿宋" w:cs="Tahoma" w:hint="eastAsia"/>
          <w:kern w:val="0"/>
          <w:sz w:val="28"/>
          <w:szCs w:val="28"/>
        </w:rPr>
        <w:t>﹝</w:t>
      </w:r>
      <w:r w:rsidRPr="005F4FA9">
        <w:rPr>
          <w:rFonts w:ascii="仿宋_GB2312" w:eastAsia="仿宋_GB2312" w:hAnsi="Tahoma" w:cs="Tahoma" w:hint="eastAsia"/>
          <w:kern w:val="0"/>
          <w:sz w:val="28"/>
          <w:szCs w:val="28"/>
        </w:rPr>
        <w:t>2018</w:t>
      </w:r>
      <w:r w:rsidRPr="005F4FA9">
        <w:rPr>
          <w:rFonts w:ascii="仿宋" w:eastAsia="仿宋" w:hAnsi="仿宋" w:cs="Tahoma" w:hint="eastAsia"/>
          <w:kern w:val="0"/>
          <w:sz w:val="28"/>
          <w:szCs w:val="28"/>
        </w:rPr>
        <w:t>﹞</w:t>
      </w:r>
      <w:r w:rsidRPr="005F4FA9">
        <w:rPr>
          <w:rFonts w:ascii="仿宋_GB2312" w:eastAsia="仿宋_GB2312" w:hAnsi="Tahoma" w:cs="Tahoma" w:hint="eastAsia"/>
          <w:kern w:val="0"/>
          <w:sz w:val="28"/>
          <w:szCs w:val="28"/>
        </w:rPr>
        <w:t>102号）文件及其他有关规定享受相应待遇。</w:t>
      </w:r>
    </w:p>
    <w:p w:rsidR="005F4FA9" w:rsidRPr="005F4FA9" w:rsidRDefault="005F4FA9" w:rsidP="005F4FA9">
      <w:pPr>
        <w:widowControl/>
        <w:adjustRightInd w:val="0"/>
        <w:snapToGrid w:val="0"/>
        <w:spacing w:line="360" w:lineRule="auto"/>
        <w:ind w:firstLineChars="200" w:firstLine="560"/>
        <w:jc w:val="left"/>
        <w:rPr>
          <w:rFonts w:ascii="黑体" w:eastAsia="黑体" w:hAnsi="Tahoma" w:cs="Tahoma"/>
          <w:color w:val="000000"/>
          <w:kern w:val="0"/>
          <w:sz w:val="28"/>
          <w:szCs w:val="28"/>
        </w:rPr>
      </w:pPr>
      <w:r w:rsidRPr="005F4FA9">
        <w:rPr>
          <w:rFonts w:ascii="黑体" w:eastAsia="黑体" w:hAnsi="Tahoma" w:cs="Tahoma" w:hint="eastAsia"/>
          <w:color w:val="000000"/>
          <w:kern w:val="0"/>
          <w:sz w:val="28"/>
          <w:szCs w:val="28"/>
        </w:rPr>
        <w:t>三、其他规定</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ahoma" w:cs="Tahoma"/>
          <w:color w:val="000000"/>
          <w:kern w:val="0"/>
          <w:sz w:val="28"/>
          <w:szCs w:val="28"/>
        </w:rPr>
      </w:pPr>
      <w:r w:rsidRPr="005F4FA9">
        <w:rPr>
          <w:rFonts w:ascii="仿宋_GB2312" w:eastAsia="仿宋_GB2312" w:hAnsi="Tahoma" w:cs="Tahoma" w:hint="eastAsia"/>
          <w:color w:val="000000"/>
          <w:kern w:val="0"/>
          <w:sz w:val="28"/>
          <w:szCs w:val="28"/>
        </w:rPr>
        <w:t>（一）2年内提供周转性住房，免房租。</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ahoma" w:cs="Tahoma"/>
          <w:color w:val="000000"/>
          <w:kern w:val="0"/>
          <w:sz w:val="28"/>
          <w:szCs w:val="28"/>
        </w:rPr>
      </w:pPr>
      <w:r w:rsidRPr="005F4FA9">
        <w:rPr>
          <w:rFonts w:ascii="仿宋_GB2312" w:eastAsia="仿宋_GB2312" w:hAnsi="Tahoma" w:cs="Tahoma" w:hint="eastAsia"/>
          <w:color w:val="000000"/>
          <w:kern w:val="0"/>
          <w:sz w:val="28"/>
          <w:szCs w:val="28"/>
        </w:rPr>
        <w:t>（二）引进人才有多项类别的，引进待遇就高执行；夫妻双方都是博士、教授者，除按高的一方享受优惠政策外，另一方可享受相应的科研启动费等(不再享受住房补助、安家费等优惠政策)。</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ahoma" w:cs="Tahoma"/>
          <w:color w:val="000000"/>
          <w:kern w:val="0"/>
          <w:sz w:val="28"/>
          <w:szCs w:val="28"/>
        </w:rPr>
      </w:pPr>
      <w:r w:rsidRPr="005F4FA9">
        <w:rPr>
          <w:rFonts w:ascii="仿宋_GB2312" w:eastAsia="仿宋_GB2312" w:hAnsi="Tahoma" w:cs="Tahoma" w:hint="eastAsia"/>
          <w:color w:val="000000"/>
          <w:kern w:val="0"/>
          <w:sz w:val="28"/>
          <w:szCs w:val="28"/>
        </w:rPr>
        <w:t>（三）引进类别中专业领军人才和专业带头人等两类人才的配偶，具有硕士及以上学历或有事业单位编制的,学校视情况解决。</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ahoma" w:cs="Tahoma"/>
          <w:color w:val="000000"/>
          <w:kern w:val="0"/>
          <w:sz w:val="28"/>
          <w:szCs w:val="28"/>
        </w:rPr>
      </w:pPr>
      <w:r w:rsidRPr="005F4FA9">
        <w:rPr>
          <w:rFonts w:ascii="仿宋_GB2312" w:eastAsia="仿宋_GB2312" w:hAnsi="Tahoma" w:cs="Tahoma" w:hint="eastAsia"/>
          <w:color w:val="000000"/>
          <w:kern w:val="0"/>
          <w:sz w:val="28"/>
          <w:szCs w:val="28"/>
        </w:rPr>
        <w:t>（四）引进人才</w:t>
      </w:r>
      <w:proofErr w:type="gramStart"/>
      <w:r w:rsidRPr="005F4FA9">
        <w:rPr>
          <w:rFonts w:ascii="仿宋_GB2312" w:eastAsia="仿宋_GB2312" w:hAnsi="Tahoma" w:cs="Tahoma" w:hint="eastAsia"/>
          <w:color w:val="000000"/>
          <w:kern w:val="0"/>
          <w:sz w:val="28"/>
          <w:szCs w:val="28"/>
        </w:rPr>
        <w:t>若正在</w:t>
      </w:r>
      <w:proofErr w:type="gramEnd"/>
      <w:r w:rsidRPr="005F4FA9">
        <w:rPr>
          <w:rFonts w:ascii="仿宋_GB2312" w:eastAsia="仿宋_GB2312" w:hAnsi="Tahoma" w:cs="Tahoma" w:hint="eastAsia"/>
          <w:color w:val="000000"/>
          <w:kern w:val="0"/>
          <w:sz w:val="28"/>
          <w:szCs w:val="28"/>
        </w:rPr>
        <w:t>承担国家或省、部级课题者，经费转入我校后，按学校相关政策操作。</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ahoma" w:cs="Tahoma"/>
          <w:color w:val="000000"/>
          <w:kern w:val="0"/>
          <w:sz w:val="28"/>
          <w:szCs w:val="28"/>
        </w:rPr>
      </w:pPr>
      <w:r w:rsidRPr="005F4FA9">
        <w:rPr>
          <w:rFonts w:ascii="仿宋_GB2312" w:eastAsia="仿宋_GB2312" w:hAnsi="Tahoma" w:cs="Tahoma" w:hint="eastAsia"/>
          <w:color w:val="000000"/>
          <w:kern w:val="0"/>
          <w:sz w:val="28"/>
          <w:szCs w:val="28"/>
        </w:rPr>
        <w:t>（五）如确属急需引进的优秀人才，但学历、年龄等不符合上述条件的，或特别优秀或有重大成果的人才，经学校党委会研究同意，可另行协商。</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imes New Roman" w:cs="Times New Roman"/>
          <w:color w:val="000000"/>
          <w:sz w:val="28"/>
          <w:szCs w:val="28"/>
        </w:rPr>
      </w:pPr>
      <w:r w:rsidRPr="005F4FA9">
        <w:rPr>
          <w:rFonts w:ascii="仿宋_GB2312" w:eastAsia="仿宋_GB2312" w:hAnsi="宋体" w:cs="宋体" w:hint="eastAsia"/>
          <w:color w:val="000000"/>
          <w:kern w:val="0"/>
          <w:sz w:val="28"/>
          <w:szCs w:val="28"/>
        </w:rPr>
        <w:t>（六）</w:t>
      </w:r>
      <w:r w:rsidRPr="005F4FA9">
        <w:rPr>
          <w:rFonts w:ascii="仿宋_GB2312" w:eastAsia="仿宋_GB2312" w:hAnsi="Times New Roman" w:cs="Times New Roman" w:hint="eastAsia"/>
          <w:color w:val="000000"/>
          <w:sz w:val="28"/>
          <w:szCs w:val="28"/>
        </w:rPr>
        <w:t>引进人才须在我校服</w:t>
      </w:r>
      <w:proofErr w:type="gramStart"/>
      <w:r w:rsidRPr="005F4FA9">
        <w:rPr>
          <w:rFonts w:ascii="仿宋_GB2312" w:eastAsia="仿宋_GB2312" w:hAnsi="Times New Roman" w:cs="Times New Roman" w:hint="eastAsia"/>
          <w:color w:val="000000"/>
          <w:sz w:val="28"/>
          <w:szCs w:val="28"/>
        </w:rPr>
        <w:t>务</w:t>
      </w:r>
      <w:proofErr w:type="gramEnd"/>
      <w:r w:rsidRPr="005F4FA9">
        <w:rPr>
          <w:rFonts w:ascii="仿宋_GB2312" w:eastAsia="仿宋_GB2312" w:hAnsi="Times New Roman" w:cs="Times New Roman" w:hint="eastAsia"/>
          <w:color w:val="000000"/>
          <w:sz w:val="28"/>
          <w:szCs w:val="28"/>
        </w:rPr>
        <w:t>10年，与学校签订协议书；服务期未满10年且因个人原因离开学校的，应按照所签订协议的有关规定予以退还已享受的相关待遇（指已享受的住房补贴及安家费）。</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imes New Roman" w:cs="Times New Roman"/>
          <w:color w:val="000000"/>
          <w:sz w:val="28"/>
          <w:szCs w:val="28"/>
        </w:rPr>
      </w:pPr>
      <w:r w:rsidRPr="005F4FA9">
        <w:rPr>
          <w:rFonts w:ascii="仿宋_GB2312" w:eastAsia="仿宋_GB2312" w:hAnsi="Times New Roman" w:cs="Times New Roman" w:hint="eastAsia"/>
          <w:color w:val="000000"/>
          <w:sz w:val="28"/>
          <w:szCs w:val="28"/>
        </w:rPr>
        <w:lastRenderedPageBreak/>
        <w:t>（七）对违反国家法律法规、未履行工作职责、考核不合格者，学校将视具体情况，按国家、学校及聘用合同的有关规定做出相应处理，直至解聘。</w:t>
      </w:r>
    </w:p>
    <w:p w:rsidR="005F4FA9" w:rsidRPr="005F4FA9" w:rsidRDefault="005F4FA9" w:rsidP="005F4FA9">
      <w:pPr>
        <w:widowControl/>
        <w:adjustRightInd w:val="0"/>
        <w:snapToGrid w:val="0"/>
        <w:spacing w:line="360" w:lineRule="auto"/>
        <w:ind w:firstLine="570"/>
        <w:jc w:val="left"/>
        <w:rPr>
          <w:rFonts w:ascii="仿宋_GB2312" w:eastAsia="仿宋_GB2312" w:hAnsi="Times New Roman" w:cs="Times New Roman"/>
          <w:color w:val="000000"/>
          <w:sz w:val="28"/>
          <w:szCs w:val="28"/>
        </w:rPr>
      </w:pPr>
      <w:r w:rsidRPr="005F4FA9">
        <w:rPr>
          <w:rFonts w:ascii="仿宋_GB2312" w:eastAsia="仿宋_GB2312" w:hAnsi="Times New Roman" w:cs="Times New Roman" w:hint="eastAsia"/>
          <w:color w:val="000000"/>
          <w:sz w:val="28"/>
          <w:szCs w:val="28"/>
        </w:rPr>
        <w:t>（八）对提供不实材料而引进的人员，一经发现，学校有权随时解除聘用合同，并收回学校提供的全部待遇。</w:t>
      </w:r>
    </w:p>
    <w:p w:rsidR="005F4FA9" w:rsidRPr="005F4FA9" w:rsidRDefault="005F4FA9" w:rsidP="005F4FA9">
      <w:pPr>
        <w:widowControl/>
        <w:adjustRightInd w:val="0"/>
        <w:snapToGrid w:val="0"/>
        <w:spacing w:line="360" w:lineRule="auto"/>
        <w:ind w:firstLineChars="200" w:firstLine="560"/>
        <w:jc w:val="left"/>
        <w:rPr>
          <w:rFonts w:ascii="仿宋_GB2312" w:eastAsia="仿宋_GB2312" w:hAnsi="Times New Roman" w:cs="Times New Roman"/>
          <w:color w:val="000000"/>
          <w:sz w:val="28"/>
          <w:szCs w:val="28"/>
        </w:rPr>
      </w:pPr>
      <w:r w:rsidRPr="005F4FA9">
        <w:rPr>
          <w:rFonts w:ascii="仿宋_GB2312" w:eastAsia="仿宋_GB2312" w:hAnsi="Times New Roman" w:cs="Times New Roman" w:hint="eastAsia"/>
          <w:color w:val="000000"/>
          <w:sz w:val="28"/>
          <w:szCs w:val="28"/>
        </w:rPr>
        <w:t>（九）科研启动费根据《嘉兴职业技术学院科研启动经费项目管理办法》，由科研处具体管理。</w:t>
      </w:r>
    </w:p>
    <w:p w:rsidR="005F4FA9" w:rsidRPr="005F4FA9" w:rsidRDefault="005F4FA9" w:rsidP="005F4FA9">
      <w:pPr>
        <w:widowControl/>
        <w:adjustRightInd w:val="0"/>
        <w:snapToGrid w:val="0"/>
        <w:spacing w:line="360" w:lineRule="auto"/>
        <w:ind w:firstLineChars="200" w:firstLine="560"/>
        <w:jc w:val="left"/>
        <w:rPr>
          <w:rFonts w:ascii="黑体" w:eastAsia="黑体" w:hAnsi="Tahoma" w:cs="Tahoma"/>
          <w:color w:val="000000"/>
          <w:kern w:val="0"/>
          <w:sz w:val="28"/>
          <w:szCs w:val="28"/>
        </w:rPr>
      </w:pPr>
      <w:r w:rsidRPr="005F4FA9">
        <w:rPr>
          <w:rFonts w:ascii="黑体" w:eastAsia="黑体" w:hAnsi="Tahoma" w:cs="Tahoma" w:hint="eastAsia"/>
          <w:color w:val="000000"/>
          <w:kern w:val="0"/>
          <w:sz w:val="28"/>
          <w:szCs w:val="28"/>
        </w:rPr>
        <w:t>三、本规定由学校人事处负责解释，自2019年4月起执行。</w:t>
      </w:r>
    </w:p>
    <w:p w:rsidR="00601642" w:rsidRPr="005F4FA9" w:rsidRDefault="00601642">
      <w:bookmarkStart w:id="0" w:name="_GoBack"/>
      <w:bookmarkEnd w:id="0"/>
    </w:p>
    <w:sectPr w:rsidR="00601642" w:rsidRPr="005F4FA9" w:rsidSect="00EA6F43">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7A9" w:rsidRDefault="002A27A9" w:rsidP="005F4FA9">
      <w:r>
        <w:separator/>
      </w:r>
    </w:p>
  </w:endnote>
  <w:endnote w:type="continuationSeparator" w:id="0">
    <w:p w:rsidR="002A27A9" w:rsidRDefault="002A27A9" w:rsidP="005F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简小标宋">
    <w:altName w:val="MS Mincho"/>
    <w:charset w:val="86"/>
    <w:family w:val="modern"/>
    <w:pitch w:val="default"/>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7A9" w:rsidRDefault="002A27A9" w:rsidP="005F4FA9">
      <w:r>
        <w:separator/>
      </w:r>
    </w:p>
  </w:footnote>
  <w:footnote w:type="continuationSeparator" w:id="0">
    <w:p w:rsidR="002A27A9" w:rsidRDefault="002A27A9" w:rsidP="005F4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66"/>
    <w:rsid w:val="00072F79"/>
    <w:rsid w:val="002A27A9"/>
    <w:rsid w:val="00372B7A"/>
    <w:rsid w:val="003848FB"/>
    <w:rsid w:val="003F6766"/>
    <w:rsid w:val="004B2400"/>
    <w:rsid w:val="005F4FA9"/>
    <w:rsid w:val="00601642"/>
    <w:rsid w:val="00624EEB"/>
    <w:rsid w:val="0063782B"/>
    <w:rsid w:val="008B7BD5"/>
    <w:rsid w:val="008C3EA5"/>
    <w:rsid w:val="008D395C"/>
    <w:rsid w:val="008D3CA4"/>
    <w:rsid w:val="00925EAC"/>
    <w:rsid w:val="009C5C39"/>
    <w:rsid w:val="00A33372"/>
    <w:rsid w:val="00B54561"/>
    <w:rsid w:val="00B71FDE"/>
    <w:rsid w:val="00C2440F"/>
    <w:rsid w:val="00C24DE2"/>
    <w:rsid w:val="00CD5DAB"/>
    <w:rsid w:val="00D11F26"/>
    <w:rsid w:val="00EA6F43"/>
    <w:rsid w:val="00FB0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F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FA9"/>
    <w:rPr>
      <w:sz w:val="18"/>
      <w:szCs w:val="18"/>
    </w:rPr>
  </w:style>
  <w:style w:type="paragraph" w:styleId="a4">
    <w:name w:val="footer"/>
    <w:basedOn w:val="a"/>
    <w:link w:val="Char0"/>
    <w:uiPriority w:val="99"/>
    <w:unhideWhenUsed/>
    <w:rsid w:val="005F4FA9"/>
    <w:pPr>
      <w:tabs>
        <w:tab w:val="center" w:pos="4153"/>
        <w:tab w:val="right" w:pos="8306"/>
      </w:tabs>
      <w:snapToGrid w:val="0"/>
      <w:jc w:val="left"/>
    </w:pPr>
    <w:rPr>
      <w:sz w:val="18"/>
      <w:szCs w:val="18"/>
    </w:rPr>
  </w:style>
  <w:style w:type="character" w:customStyle="1" w:styleId="Char0">
    <w:name w:val="页脚 Char"/>
    <w:basedOn w:val="a0"/>
    <w:link w:val="a4"/>
    <w:uiPriority w:val="99"/>
    <w:rsid w:val="005F4F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F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FA9"/>
    <w:rPr>
      <w:sz w:val="18"/>
      <w:szCs w:val="18"/>
    </w:rPr>
  </w:style>
  <w:style w:type="paragraph" w:styleId="a4">
    <w:name w:val="footer"/>
    <w:basedOn w:val="a"/>
    <w:link w:val="Char0"/>
    <w:uiPriority w:val="99"/>
    <w:unhideWhenUsed/>
    <w:rsid w:val="005F4FA9"/>
    <w:pPr>
      <w:tabs>
        <w:tab w:val="center" w:pos="4153"/>
        <w:tab w:val="right" w:pos="8306"/>
      </w:tabs>
      <w:snapToGrid w:val="0"/>
      <w:jc w:val="left"/>
    </w:pPr>
    <w:rPr>
      <w:sz w:val="18"/>
      <w:szCs w:val="18"/>
    </w:rPr>
  </w:style>
  <w:style w:type="character" w:customStyle="1" w:styleId="Char0">
    <w:name w:val="页脚 Char"/>
    <w:basedOn w:val="a0"/>
    <w:link w:val="a4"/>
    <w:uiPriority w:val="99"/>
    <w:rsid w:val="005F4F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1272</Characters>
  <Application>Microsoft Office Word</Application>
  <DocSecurity>0</DocSecurity>
  <Lines>10</Lines>
  <Paragraphs>2</Paragraphs>
  <ScaleCrop>false</ScaleCrop>
  <Company>Microsoft</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徐晓婧</dc:creator>
  <cp:keywords/>
  <dc:description/>
  <cp:lastModifiedBy>徐晓婧</cp:lastModifiedBy>
  <cp:revision>4</cp:revision>
  <dcterms:created xsi:type="dcterms:W3CDTF">2019-04-25T01:30:00Z</dcterms:created>
  <dcterms:modified xsi:type="dcterms:W3CDTF">2019-04-25T01:31:00Z</dcterms:modified>
</cp:coreProperties>
</file>