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tLeast"/>
        <w:rPr>
          <w:rFonts w:hint="eastAsia" w:ascii="Times New Roman" w:cs="Times New Roman"/>
          <w:sz w:val="24"/>
        </w:rPr>
      </w:pPr>
      <w:r>
        <w:rPr>
          <w:rFonts w:ascii="Times New Roman" w:cs="Times New Roman"/>
          <w:sz w:val="24"/>
        </w:rPr>
        <w:t>附件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cs="Times New Roman"/>
          <w:sz w:val="24"/>
        </w:rPr>
        <w:t>：</w:t>
      </w:r>
      <w:r>
        <w:rPr>
          <w:rFonts w:hint="eastAsia" w:ascii="Times New Roman" w:cs="Times New Roman"/>
          <w:sz w:val="24"/>
        </w:rPr>
        <w:t xml:space="preserve"> </w:t>
      </w:r>
    </w:p>
    <w:p>
      <w:pPr>
        <w:adjustRightInd w:val="0"/>
        <w:snapToGrid w:val="0"/>
        <w:spacing w:line="360" w:lineRule="atLeast"/>
        <w:rPr>
          <w:rFonts w:hint="eastAsia" w:ascii="Times New Roman" w:cs="Times New Roman"/>
          <w:sz w:val="24"/>
        </w:rPr>
      </w:pPr>
    </w:p>
    <w:p>
      <w:pPr>
        <w:adjustRightInd w:val="0"/>
        <w:snapToGrid w:val="0"/>
        <w:spacing w:line="360" w:lineRule="atLeast"/>
        <w:ind w:firstLine="689" w:firstLineChars="245"/>
        <w:rPr>
          <w:rFonts w:hint="eastAsia" w:ascii="Times New Roman" w:cs="Times New Roman"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2020年三门县中小学（幼儿园）教师公开招聘计划一览表</w:t>
      </w:r>
    </w:p>
    <w:bookmarkEnd w:id="0"/>
    <w:tbl>
      <w:tblPr>
        <w:tblStyle w:val="2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9"/>
        <w:gridCol w:w="887"/>
        <w:gridCol w:w="597"/>
        <w:gridCol w:w="492"/>
        <w:gridCol w:w="4242"/>
        <w:gridCol w:w="6"/>
        <w:gridCol w:w="1126"/>
        <w:gridCol w:w="12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  <w:jc w:val="center"/>
        </w:trPr>
        <w:tc>
          <w:tcPr>
            <w:tcW w:w="2335" w:type="dxa"/>
            <w:gridSpan w:val="4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6371" w:type="dxa"/>
            <w:gridSpan w:val="5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所需资格条件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3" w:hRule="atLeast"/>
          <w:jc w:val="center"/>
        </w:trPr>
        <w:tc>
          <w:tcPr>
            <w:tcW w:w="1246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岗位或专业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4" w:hRule="atLeast"/>
          <w:jc w:val="center"/>
        </w:trPr>
        <w:tc>
          <w:tcPr>
            <w:tcW w:w="359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高中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人文教育、历史教育、科学社会主义、历史学、世界史、外国语言与外国历史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359" w:type="dxa"/>
            <w:vMerge w:val="restart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初</w:t>
            </w:r>
          </w:p>
          <w:p>
            <w:pPr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  <w:p>
            <w:pPr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中</w:t>
            </w: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人文教育、历史教育、科学社会主义、思想政治教育、历史学、世界史、政治经济学与哲学、政治学理论、科学社会主义与国际共产主义、历史地理学、中国古代史、中国近现代史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9" w:hRule="atLeast"/>
          <w:jc w:val="center"/>
        </w:trPr>
        <w:tc>
          <w:tcPr>
            <w:tcW w:w="359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汉语言文学、汉语言、语文教育、汉语言教育、汉语言文学教育、学科教育（语文）、对外汉语、中国语言文化、应用语言学、语言学与应用语言学、汉语国际教育、中国古典文献学、中国古代文学、中国现当代文学、秘书学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7" w:hRule="atLeast"/>
          <w:jc w:val="center"/>
        </w:trPr>
        <w:tc>
          <w:tcPr>
            <w:tcW w:w="3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数学、数学教育、数学与应用数学、学科教育（数学）、信息与计算科学、计算数学、数理基础理论、基础数学、应用数学、概念论与数理统计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  <w:jc w:val="center"/>
        </w:trPr>
        <w:tc>
          <w:tcPr>
            <w:tcW w:w="3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英语、商务英语、应用英语、英语语言文学、学科教育（英语）、英语教育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6" w:hRule="atLeast"/>
          <w:jc w:val="center"/>
        </w:trPr>
        <w:tc>
          <w:tcPr>
            <w:tcW w:w="3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科学</w:t>
            </w:r>
          </w:p>
        </w:tc>
        <w:tc>
          <w:tcPr>
            <w:tcW w:w="59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科学教育、物理教育、物理学、应用物理学、地球物理学、理论物理、化学教育、化学、应用化学、应用生物学、物理化学、生物教育、生物、生物科学、生物技术、植物学、动物学、生物物理学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jc w:val="center"/>
        </w:trPr>
        <w:tc>
          <w:tcPr>
            <w:tcW w:w="359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汉语言文学、汉语言、语文教育、汉语言教育、汉语言文学教育、学科教育（语文）、对外汉语、中国语言文化、应用语言学、人文教育、汉语国际教育、中国古典文献学、中国古代文学、中国现当代文学、文秘、小学教育、初等教育（汉语言文学方向）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6" w:hRule="atLeast"/>
          <w:jc w:val="center"/>
        </w:trPr>
        <w:tc>
          <w:tcPr>
            <w:tcW w:w="3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数学、数学教育、数学与应用数学、学科教育（数学）、信息与计算科学、计算数学、数理基础理论、基础数学、应用数学、概念论与数理统计、初等教育（数学方向）、小学教育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jc w:val="center"/>
        </w:trPr>
        <w:tc>
          <w:tcPr>
            <w:tcW w:w="3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英语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2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英语、商务英语、应用英语、英语语言文学、学科教育（英语）、英语教育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7" w:hRule="atLeast"/>
          <w:jc w:val="center"/>
        </w:trPr>
        <w:tc>
          <w:tcPr>
            <w:tcW w:w="35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科学</w:t>
            </w:r>
          </w:p>
        </w:tc>
        <w:tc>
          <w:tcPr>
            <w:tcW w:w="59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4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科学教育、物理教育、物理学、应用物理学、地球物理学、理论物理、化学教育、化学、应用化学、应用生物学、物理化学、生物教育、生物、生物科学、生物技术、植物学、动物学、生物物理学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台州户籍或台州生源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1" w:hRule="atLeas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中小学信息技术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3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计算机及应用、计算机科学教育、计算机信息管理、计算机应用技术、信息资源管理、信息管理及信息系统、信息管理及技术、教育技术学、计算机科学与技术、软件工程、网络工程、信息安全、物联网工程、数字媒体技术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三门户籍或三门生源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1" w:hRule="atLeas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中小学音乐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3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音乐教育、音乐学、作曲与作曲技术理论、音乐表演、舞蹈学、戏剧学、表演学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三门户籍或三门生源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1" w:hRule="atLeas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中小学体育</w:t>
            </w:r>
          </w:p>
        </w:tc>
        <w:tc>
          <w:tcPr>
            <w:tcW w:w="59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6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体育学、体育教育、运动训练、社会体育、竞技体育、田径、球类、武术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三门户籍或三门生源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1" w:hRule="atLeas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中小学美术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3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美术教育、美术学、绘画、雕塑、动画、艺术设计学、艺术设计、视觉传达设计、环境设计、产品设计、戏剧影视美术设计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三门户籍或三门生源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1" w:hRule="atLeas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中小学会计</w:t>
            </w:r>
          </w:p>
        </w:tc>
        <w:tc>
          <w:tcPr>
            <w:tcW w:w="59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3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不限</w:t>
            </w:r>
          </w:p>
        </w:tc>
        <w:tc>
          <w:tcPr>
            <w:tcW w:w="4242" w:type="dxa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会计、会计学、会计信息技术、财务会计教育、财务管理、财会会计与审计、审计、会计电算化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全日制普通高校本科及以上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三门户籍或三门生源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 xml:space="preserve">学前教育   A岗 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12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幼儿、学前教育专业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三门户籍或三门生源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学前教育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B岗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12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18"/>
                <w:szCs w:val="18"/>
              </w:rPr>
            </w:pPr>
            <w:r>
              <w:rPr>
                <w:rFonts w:hint="eastAsia" w:ascii="Txt" w:hAnsi="Txt" w:cs="Txt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幼儿、学前教育专业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三门户籍或三门生源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  <w:jc w:val="center"/>
        </w:trPr>
        <w:tc>
          <w:tcPr>
            <w:tcW w:w="124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学前教育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C岗</w:t>
            </w:r>
          </w:p>
        </w:tc>
        <w:tc>
          <w:tcPr>
            <w:tcW w:w="597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12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18"/>
                <w:szCs w:val="18"/>
              </w:rPr>
            </w:pPr>
            <w:r>
              <w:rPr>
                <w:rFonts w:hint="eastAsia" w:ascii="Txt" w:hAnsi="Txt" w:cs="Txt"/>
                <w:kern w:val="0"/>
                <w:sz w:val="18"/>
                <w:szCs w:val="18"/>
              </w:rPr>
              <w:t>不限</w:t>
            </w:r>
          </w:p>
        </w:tc>
        <w:tc>
          <w:tcPr>
            <w:tcW w:w="424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幼儿、学前教育专业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xt" w:hAnsi="Txt" w:cs="Txt"/>
                <w:kern w:val="0"/>
                <w:sz w:val="20"/>
                <w:szCs w:val="20"/>
              </w:rPr>
            </w:pPr>
            <w:r>
              <w:rPr>
                <w:rFonts w:hint="eastAsia" w:ascii="Txt" w:hAnsi="Txt" w:cs="Txt"/>
                <w:kern w:val="0"/>
                <w:sz w:val="20"/>
                <w:szCs w:val="20"/>
              </w:rPr>
              <w:t>三门户籍或三门生源</w:t>
            </w:r>
          </w:p>
        </w:tc>
      </w:tr>
    </w:tbl>
    <w:p>
      <w:pPr>
        <w:rPr>
          <w:rFonts w:hint="eastAsia" w:ascii="Txt" w:hAnsi="Txt" w:cs="Txt"/>
          <w:kern w:val="0"/>
          <w:sz w:val="20"/>
          <w:szCs w:val="20"/>
        </w:rPr>
      </w:pPr>
      <w:r>
        <w:rPr>
          <w:rFonts w:hint="eastAsia" w:ascii="Txt" w:hAnsi="Txt" w:cs="Txt"/>
          <w:kern w:val="0"/>
          <w:sz w:val="20"/>
          <w:szCs w:val="20"/>
        </w:rPr>
        <w:t>注：专业界定由县教育局确定。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xt">
    <w:altName w:val="Times New Roman"/>
    <w:panose1 w:val="00000000000000000000"/>
    <w:charset w:val="00"/>
    <w:family w:val="auto"/>
    <w:pitch w:val="default"/>
    <w:sig w:usb0="00000000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31B82"/>
    <w:rsid w:val="0C23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 Math" w:hAnsi="Cambria Math" w:eastAsia="宋体" w:cs="Cambria Math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宋体" w:cs="Cambria Math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2020-02-24T08:58:00Z</dcterms:created>
  <dc:creator>双木成林</dc:creator>
  <cp:lastModifiedBy>双木成林</cp:lastModifiedBy>
  <dcterms:modified xsi:type="dcterms:W3CDTF">2020-02-24T08:59:50Z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