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3</w:t>
      </w:r>
    </w:p>
    <w:p>
      <w:pPr>
        <w:spacing w:line="580" w:lineRule="exact"/>
        <w:jc w:val="center"/>
        <w:rPr>
          <w:rFonts w:eastAsia="方正小标宋简体"/>
          <w:sz w:val="44"/>
          <w:szCs w:val="44"/>
        </w:rPr>
      </w:pPr>
      <w:r>
        <w:rPr>
          <w:rFonts w:hint="eastAsia" w:eastAsia="方正小标宋简体"/>
          <w:sz w:val="44"/>
          <w:szCs w:val="44"/>
        </w:rPr>
        <w:t>违纪违规处理规定</w:t>
      </w:r>
    </w:p>
    <w:p>
      <w:pPr>
        <w:keepNext w:val="0"/>
        <w:keepLines w:val="0"/>
        <w:pageBreakBefore w:val="0"/>
        <w:widowControl w:val="0"/>
        <w:kinsoku/>
        <w:wordWrap/>
        <w:overflowPunct/>
        <w:topLinePunct w:val="0"/>
        <w:autoSpaceDE/>
        <w:autoSpaceDN/>
        <w:bidi w:val="0"/>
        <w:adjustRightInd/>
        <w:snapToGrid/>
        <w:spacing w:line="300" w:lineRule="exact"/>
        <w:ind w:left="0" w:leftChars="0" w:right="-31" w:rightChars="-15" w:firstLine="480" w:firstLineChars="200"/>
        <w:jc w:val="both"/>
        <w:textAlignment w:val="auto"/>
        <w:outlineLvl w:val="9"/>
        <w:rPr>
          <w:rFonts w:eastAsia="仿宋_GB2312"/>
          <w:sz w:val="24"/>
        </w:rPr>
      </w:pPr>
    </w:p>
    <w:p>
      <w:pPr>
        <w:keepNext w:val="0"/>
        <w:keepLines w:val="0"/>
        <w:pageBreakBefore w:val="0"/>
        <w:widowControl w:val="0"/>
        <w:kinsoku/>
        <w:wordWrap/>
        <w:overflowPunct/>
        <w:topLinePunct w:val="0"/>
        <w:autoSpaceDE/>
        <w:autoSpaceDN/>
        <w:bidi w:val="0"/>
        <w:adjustRightInd/>
        <w:snapToGrid/>
        <w:spacing w:line="300" w:lineRule="exact"/>
        <w:ind w:left="0" w:leftChars="0" w:firstLine="360" w:firstLineChars="150"/>
        <w:jc w:val="both"/>
        <w:textAlignment w:val="auto"/>
        <w:outlineLvl w:val="9"/>
        <w:rPr>
          <w:rFonts w:hint="eastAsia" w:ascii="仿宋_GB2312" w:hAnsi="宋体" w:eastAsia="仿宋_GB2312"/>
          <w:sz w:val="24"/>
        </w:rPr>
      </w:pPr>
      <w:r>
        <w:rPr>
          <w:rFonts w:hint="eastAsia" w:ascii="仿宋_GB2312" w:hAnsi="宋体" w:eastAsia="仿宋_GB2312"/>
          <w:sz w:val="24"/>
        </w:rPr>
        <w:t>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xml:space="preserve">    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（一）抄袭、协助他人抄袭的；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（三）持伪造证件参加考试的；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xml:space="preserve">    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（一）串通作弊或者参与有组织作弊的；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（二）拒绝、妨碍工作人员履行管理职责的；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宋体" w:eastAsia="仿宋_GB2312"/>
          <w:sz w:val="24"/>
        </w:rPr>
      </w:pPr>
      <w:r>
        <w:rPr>
          <w:rFonts w:hint="eastAsia" w:ascii="仿宋_GB2312" w:hAnsi="宋体" w:eastAsia="仿宋_GB2312"/>
          <w:sz w:val="24"/>
        </w:rPr>
        <w:t>　 （四）其他扰乱招聘工作秩序的违纪违规行为。</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jc w:val="both"/>
        <w:textAlignment w:val="auto"/>
        <w:outlineLvl w:val="9"/>
      </w:pPr>
      <w:r>
        <w:rPr>
          <w:rFonts w:hint="eastAsia" w:ascii="仿宋_GB2312" w:eastAsia="仿宋_GB2312"/>
          <w:szCs w:val="21"/>
        </w:rPr>
        <w:t>摘自《事业单位公开招聘违纪违规行为处理规定》（人社部令第35号）</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A1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2020-07-27T10:52:52Z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